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2EA7" w14:textId="4AFCA177" w:rsidR="00CB75DD" w:rsidRDefault="00CB75DD" w:rsidP="00CB75DD">
      <w:pPr>
        <w:spacing w:after="120"/>
        <w:jc w:val="center"/>
      </w:pPr>
      <w:r>
        <w:rPr>
          <w:rFonts w:ascii="Calibri-Bold" w:hAnsi="Calibri-Bold" w:cs="Calibri-Bold"/>
          <w:b/>
          <w:bCs/>
        </w:rPr>
        <w:t>INC 1</w:t>
      </w:r>
      <w:r>
        <w:rPr>
          <w:rFonts w:ascii="Calibri-Bold" w:hAnsi="Calibri-Bold" w:cs="Calibri-Bold"/>
          <w:b/>
          <w:bCs/>
        </w:rPr>
        <w:t>91</w:t>
      </w:r>
      <w:r>
        <w:rPr>
          <w:rFonts w:ascii="Calibri-Bold" w:hAnsi="Calibri-Bold" w:cs="Calibri-Bold"/>
          <w:b/>
          <w:bCs/>
        </w:rPr>
        <w:t xml:space="preserve"> Issue Status Report to CSCN 13</w:t>
      </w:r>
      <w:r>
        <w:rPr>
          <w:rFonts w:ascii="Calibri-Bold" w:hAnsi="Calibri-Bold" w:cs="Calibri-Bold"/>
          <w:b/>
          <w:bCs/>
        </w:rPr>
        <w:t>3</w:t>
      </w:r>
    </w:p>
    <w:p w14:paraId="3FF03746" w14:textId="77777777" w:rsidR="00147EC1" w:rsidRDefault="00147EC1"/>
    <w:p w14:paraId="5C21DEB3" w14:textId="77777777" w:rsidR="00CB75DD" w:rsidRPr="0099538E" w:rsidRDefault="00CB75DD" w:rsidP="00CB75DD">
      <w:pPr>
        <w:spacing w:after="160" w:line="278" w:lineRule="auto"/>
        <w:rPr>
          <w:rFonts w:eastAsia="MS Mincho"/>
        </w:rPr>
      </w:pPr>
      <w:bookmarkStart w:id="0" w:name="_Hlk199847476"/>
      <w:r w:rsidRPr="0099538E">
        <w:t xml:space="preserve">The following Issues will remain Active: </w:t>
      </w:r>
    </w:p>
    <w:p w14:paraId="1A69538B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</w:pPr>
      <w:r w:rsidRPr="0099538E">
        <w:rPr>
          <w:b/>
          <w:bCs/>
        </w:rPr>
        <w:t xml:space="preserve">Issue 973, </w:t>
      </w:r>
      <w:r w:rsidRPr="0099538E">
        <w:rPr>
          <w:i/>
          <w:iCs/>
        </w:rPr>
        <w:t>Investigate what can be done to prevent the porting of TNs in Available/Pending thousands-blocks from new CO Code assignments for LRN or Pool Replenishment (Farquhar, NANPA)</w:t>
      </w:r>
    </w:p>
    <w:p w14:paraId="55B6BF28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</w:pPr>
      <w:r w:rsidRPr="0099538E">
        <w:rPr>
          <w:b/>
          <w:bCs/>
        </w:rPr>
        <w:t>Issue 974,</w:t>
      </w:r>
      <w:r w:rsidRPr="0099538E">
        <w:t xml:space="preserve"> </w:t>
      </w:r>
      <w:r w:rsidRPr="0099538E">
        <w:rPr>
          <w:i/>
          <w:iCs/>
        </w:rPr>
        <w:t>Review Industry Notification Timeframes for NANP Expansion and the Available General Purpose Code Trigger (Blevins, Sinch)</w:t>
      </w:r>
    </w:p>
    <w:p w14:paraId="5ED03C31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>Issue 985,</w:t>
      </w:r>
      <w:r w:rsidRPr="0099538E">
        <w:rPr>
          <w:i/>
          <w:iCs/>
        </w:rPr>
        <w:t xml:space="preserve"> Proposed Issue to allow Service Providers (SPs) to bypass utilization and MTE requirements to obtain a block in a CO Code that the SP obtained due to only SPs with Ported TNs. (Blevins, Sinch) </w:t>
      </w:r>
    </w:p>
    <w:p w14:paraId="75A21BC2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 xml:space="preserve">Issue 986, </w:t>
      </w:r>
      <w:r w:rsidRPr="0099538E">
        <w:rPr>
          <w:i/>
          <w:iCs/>
        </w:rPr>
        <w:t>Review NPA Code Relief Planning and Notification Guidelines for necessary updates (Blevins, Sinch)</w:t>
      </w:r>
    </w:p>
    <w:p w14:paraId="670FDA42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 xml:space="preserve">Issue 987, </w:t>
      </w:r>
      <w:r w:rsidRPr="0099538E">
        <w:rPr>
          <w:i/>
          <w:iCs/>
        </w:rPr>
        <w:t xml:space="preserve">General Review and possible updates to ATIS-0300065, Location Routing Number (LRN) Assignment Practices (Nakamura, 10x People) </w:t>
      </w:r>
    </w:p>
    <w:p w14:paraId="66350EAF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 xml:space="preserve">Issue 992, </w:t>
      </w:r>
      <w:r w:rsidRPr="0099538E">
        <w:rPr>
          <w:rFonts w:eastAsia="Cambria"/>
          <w:i/>
          <w:iCs/>
        </w:rPr>
        <w:t>Review and update Sections 10.1 and 10.2 Mass Modifications of the TBCOCAG (Thousands-Block (NPA-NXX-X) &amp; Central Office Code (NPA-NXX) to allow for disconnects and inter-company transfers to be worked through the mass modification process</w:t>
      </w:r>
      <w:r w:rsidRPr="0099538E">
        <w:rPr>
          <w:b/>
          <w:bCs/>
        </w:rPr>
        <w:t xml:space="preserve"> </w:t>
      </w:r>
      <w:r w:rsidRPr="0099538E">
        <w:rPr>
          <w:i/>
          <w:iCs/>
        </w:rPr>
        <w:t>(Blevins, Sinch)</w:t>
      </w:r>
    </w:p>
    <w:p w14:paraId="1C814151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 xml:space="preserve">Issue 993, </w:t>
      </w:r>
      <w:r w:rsidRPr="0099538E">
        <w:rPr>
          <w:rFonts w:eastAsia="Cambria"/>
          <w:i/>
          <w:iCs/>
        </w:rPr>
        <w:t xml:space="preserve">Review of NRUF &amp; NPA Exhaust, NANP Exhaust, and 5XX Exhaust Analysis Reports for potential edits or changes </w:t>
      </w:r>
      <w:r w:rsidRPr="0099538E">
        <w:rPr>
          <w:i/>
          <w:iCs/>
        </w:rPr>
        <w:t>(Blevins, Sinch)</w:t>
      </w:r>
    </w:p>
    <w:p w14:paraId="25B38FED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>Issue 994,</w:t>
      </w:r>
      <w:r w:rsidRPr="0099538E">
        <w:rPr>
          <w:i/>
          <w:iCs/>
        </w:rPr>
        <w:t xml:space="preserve"> Review and establish written guidelines if NANPA can deny requests for resources due to a Service Provider not having an AOCN (Blevins, Sinch)</w:t>
      </w:r>
    </w:p>
    <w:p w14:paraId="74A54638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rFonts w:eastAsia="MS Mincho"/>
          <w:b/>
          <w:bCs/>
        </w:rPr>
        <w:t xml:space="preserve">Issue 997, </w:t>
      </w:r>
      <w:r w:rsidRPr="0099538E">
        <w:rPr>
          <w:rFonts w:eastAsia="MS Mincho"/>
          <w:i/>
          <w:iCs/>
        </w:rPr>
        <w:t xml:space="preserve">Update Section 18 Rate Center Consolidations/Changes of ATIS-0300119, Thousands-Block (NPA-NXX-X) &amp; Central Office Code (NPA-NXX) Administration Guidelines with consistency edits and to provide NANPA </w:t>
      </w:r>
      <w:proofErr w:type="gramStart"/>
      <w:r w:rsidRPr="0099538E">
        <w:rPr>
          <w:rFonts w:eastAsia="MS Mincho"/>
          <w:i/>
          <w:iCs/>
        </w:rPr>
        <w:t>direction</w:t>
      </w:r>
      <w:proofErr w:type="gramEnd"/>
      <w:r w:rsidRPr="0099538E">
        <w:rPr>
          <w:rFonts w:eastAsia="MS Mincho"/>
          <w:i/>
          <w:iCs/>
        </w:rPr>
        <w:t xml:space="preserve"> when a rate center consolidation is initiated by the regulator</w:t>
      </w:r>
    </w:p>
    <w:p w14:paraId="0383CB5B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rFonts w:eastAsia="MS Mincho"/>
          <w:b/>
          <w:bCs/>
        </w:rPr>
        <w:t xml:space="preserve">Issue 998, </w:t>
      </w:r>
      <w:r w:rsidRPr="0099538E">
        <w:rPr>
          <w:rFonts w:eastAsia="MS Mincho"/>
          <w:i/>
          <w:iCs/>
        </w:rPr>
        <w:t xml:space="preserve">Update Sections 9.1.9 </w:t>
      </w:r>
      <w:proofErr w:type="gramStart"/>
      <w:r w:rsidRPr="0099538E">
        <w:rPr>
          <w:rFonts w:eastAsia="MS Mincho"/>
          <w:i/>
          <w:iCs/>
        </w:rPr>
        <w:t>Thousands</w:t>
      </w:r>
      <w:proofErr w:type="gramEnd"/>
      <w:r w:rsidRPr="0099538E">
        <w:rPr>
          <w:rFonts w:eastAsia="MS Mincho"/>
          <w:i/>
          <w:iCs/>
        </w:rPr>
        <w:t>-Block Transfer Process of ATIS-0300119, Thousands-Block (NPA-NXX-X) &amp; Central Office Code (NPA-NXX) Administration Guidelines thousands-blocks must be protected from further assignment and all intra service provider ports completed prior to transferring the thousands-block (Farquhar, NANPA)</w:t>
      </w:r>
    </w:p>
    <w:p w14:paraId="721D2305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rFonts w:eastAsia="MS Mincho"/>
          <w:b/>
          <w:bCs/>
        </w:rPr>
        <w:lastRenderedPageBreak/>
        <w:t xml:space="preserve">Issue 999, </w:t>
      </w:r>
      <w:r w:rsidRPr="0099538E">
        <w:rPr>
          <w:rFonts w:eastAsia="MS Mincho"/>
          <w:i/>
          <w:iCs/>
        </w:rPr>
        <w:t>Large-Scale Rate Center Consolidation Reference Document (Blevins, Sinch)</w:t>
      </w:r>
    </w:p>
    <w:p w14:paraId="62D56329" w14:textId="77777777" w:rsidR="00CB75DD" w:rsidRPr="0099538E" w:rsidRDefault="00CB75DD" w:rsidP="00CB75DD">
      <w:pPr>
        <w:spacing w:after="160" w:line="278" w:lineRule="auto"/>
        <w:rPr>
          <w:bCs/>
        </w:rPr>
      </w:pPr>
      <w:r w:rsidRPr="0099538E">
        <w:rPr>
          <w:bCs/>
        </w:rPr>
        <w:t xml:space="preserve">The following Issue has been Tabled: </w:t>
      </w:r>
    </w:p>
    <w:p w14:paraId="2F4A0EE9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</w:pPr>
      <w:r w:rsidRPr="0099538E">
        <w:rPr>
          <w:b/>
          <w:bCs/>
        </w:rPr>
        <w:t>Issue 974,</w:t>
      </w:r>
      <w:r w:rsidRPr="0099538E">
        <w:t xml:space="preserve"> </w:t>
      </w:r>
      <w:r w:rsidRPr="0099538E">
        <w:rPr>
          <w:i/>
          <w:iCs/>
        </w:rPr>
        <w:t>Review Industry Notification Timeframes for NANP Expansion and the Available General Purpose Code Trigger (Blevins, Sinch)</w:t>
      </w:r>
    </w:p>
    <w:p w14:paraId="472AD384" w14:textId="77777777" w:rsidR="00CB75DD" w:rsidRPr="0099538E" w:rsidRDefault="00CB75DD" w:rsidP="00CB75DD">
      <w:pPr>
        <w:spacing w:after="160" w:line="278" w:lineRule="auto"/>
      </w:pPr>
      <w:r w:rsidRPr="0099538E">
        <w:t xml:space="preserve">The following Issue will be placed into Initial Closure: </w:t>
      </w:r>
    </w:p>
    <w:p w14:paraId="510144BF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 xml:space="preserve">Issue 988, </w:t>
      </w:r>
      <w:r w:rsidRPr="0099538E">
        <w:rPr>
          <w:rFonts w:eastAsia="Cambria"/>
          <w:i/>
          <w:iCs/>
        </w:rPr>
        <w:t xml:space="preserve">Update various sections of the Thousands Block (NPA-NXX-X) &amp; Central Office Code (NPA-NXX) Administration Guidelines (TBCOCAG, ATIS-0300119) (Hartman, </w:t>
      </w:r>
      <w:proofErr w:type="spellStart"/>
      <w:r w:rsidRPr="0099538E">
        <w:rPr>
          <w:rFonts w:eastAsia="Cambria"/>
          <w:i/>
          <w:iCs/>
        </w:rPr>
        <w:t>iconectiv</w:t>
      </w:r>
      <w:proofErr w:type="spellEnd"/>
      <w:r w:rsidRPr="0099538E">
        <w:rPr>
          <w:rFonts w:eastAsia="Cambria"/>
          <w:i/>
          <w:iCs/>
        </w:rPr>
        <w:t>)</w:t>
      </w:r>
    </w:p>
    <w:p w14:paraId="38B72C67" w14:textId="77777777" w:rsidR="00CB75DD" w:rsidRPr="0099538E" w:rsidRDefault="00CB75DD" w:rsidP="00CB75DD">
      <w:pPr>
        <w:spacing w:after="160" w:line="278" w:lineRule="auto"/>
        <w:rPr>
          <w:bCs/>
        </w:rPr>
      </w:pPr>
      <w:r w:rsidRPr="0099538E">
        <w:rPr>
          <w:bCs/>
        </w:rPr>
        <w:t xml:space="preserve">The following documents have been published in relation to the following Issues: </w:t>
      </w:r>
    </w:p>
    <w:p w14:paraId="662F3D2A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</w:pPr>
      <w:r w:rsidRPr="0099538E">
        <w:rPr>
          <w:rFonts w:eastAsia="Cambria"/>
          <w:b/>
          <w:bCs/>
        </w:rPr>
        <w:t xml:space="preserve">Issue 961, </w:t>
      </w:r>
      <w:r w:rsidRPr="0099538E">
        <w:rPr>
          <w:rFonts w:eastAsia="Cambria"/>
          <w:i/>
          <w:iCs/>
        </w:rPr>
        <w:t xml:space="preserve">Update ATIS-0300119 </w:t>
      </w:r>
      <w:proofErr w:type="gramStart"/>
      <w:r w:rsidRPr="0099538E">
        <w:rPr>
          <w:rFonts w:eastAsia="Cambria"/>
          <w:i/>
          <w:iCs/>
        </w:rPr>
        <w:t>Thousands</w:t>
      </w:r>
      <w:proofErr w:type="gramEnd"/>
      <w:r w:rsidRPr="0099538E">
        <w:rPr>
          <w:rFonts w:eastAsia="Cambria"/>
          <w:i/>
          <w:iCs/>
        </w:rPr>
        <w:t>-Block (NPA-NXX-X) &amp; Central Office Code (NPA-NXX) Administration Guidelines (TBCOCAG) To Require NANPA/PA To Obtain NPAC Reports Each Business Day (Crandell, Verizon)</w:t>
      </w:r>
    </w:p>
    <w:p w14:paraId="3D4A549E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rFonts w:eastAsia="Cambria"/>
          <w:i/>
          <w:iCs/>
        </w:rPr>
      </w:pPr>
      <w:r w:rsidRPr="0099538E">
        <w:rPr>
          <w:b/>
          <w:bCs/>
        </w:rPr>
        <w:t xml:space="preserve">Issue 995, </w:t>
      </w:r>
      <w:r w:rsidRPr="0099538E">
        <w:rPr>
          <w:rFonts w:eastAsia="Cambria"/>
          <w:i/>
          <w:iCs/>
        </w:rPr>
        <w:t>NPA Allocation Plan and Assignment Guidelines to align NPA Assignment for all existing NANP countries (Weber, NANPA)</w:t>
      </w:r>
    </w:p>
    <w:p w14:paraId="679CFB80" w14:textId="77777777" w:rsidR="00CB75DD" w:rsidRPr="0099538E" w:rsidRDefault="00CB75DD" w:rsidP="00CB75DD">
      <w:pPr>
        <w:numPr>
          <w:ilvl w:val="0"/>
          <w:numId w:val="1"/>
        </w:numPr>
        <w:spacing w:after="160" w:line="278" w:lineRule="auto"/>
        <w:rPr>
          <w:i/>
          <w:iCs/>
        </w:rPr>
      </w:pPr>
      <w:r w:rsidRPr="0099538E">
        <w:rPr>
          <w:b/>
          <w:bCs/>
        </w:rPr>
        <w:t xml:space="preserve">Issue 996, </w:t>
      </w:r>
      <w:r w:rsidRPr="0099538E">
        <w:rPr>
          <w:rFonts w:eastAsia="Cambria"/>
          <w:i/>
          <w:iCs/>
        </w:rPr>
        <w:t xml:space="preserve">Notifications from NPAC in TBCOCAG and Part 1B Form &amp; Part 5 Form (Doherty, </w:t>
      </w:r>
      <w:proofErr w:type="spellStart"/>
      <w:r w:rsidRPr="0099538E">
        <w:rPr>
          <w:rFonts w:eastAsia="Cambria"/>
          <w:i/>
          <w:iCs/>
        </w:rPr>
        <w:t>iconectiv</w:t>
      </w:r>
      <w:proofErr w:type="spellEnd"/>
      <w:r w:rsidRPr="0099538E">
        <w:rPr>
          <w:rFonts w:eastAsia="Cambria"/>
          <w:i/>
          <w:iCs/>
        </w:rPr>
        <w:t>)</w:t>
      </w:r>
      <w:bookmarkEnd w:id="0"/>
    </w:p>
    <w:p w14:paraId="04698B98" w14:textId="77777777" w:rsidR="00CB75DD" w:rsidRDefault="00CB75DD"/>
    <w:sectPr w:rsidR="00CB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0676"/>
    <w:multiLevelType w:val="hybridMultilevel"/>
    <w:tmpl w:val="442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464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DD"/>
    <w:rsid w:val="00147EC1"/>
    <w:rsid w:val="002E78B4"/>
    <w:rsid w:val="00CB75DD"/>
    <w:rsid w:val="00D4106C"/>
    <w:rsid w:val="00D7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4ADB"/>
  <w15:chartTrackingRefBased/>
  <w15:docId w15:val="{4BAB2116-BBF1-4F57-AC5A-5EC38F5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5DD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5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5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5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5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5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943591-6683-417E-B264-7CE4215889EF}"/>
</file>

<file path=customXml/itemProps2.xml><?xml version="1.0" encoding="utf-8"?>
<ds:datastoreItem xmlns:ds="http://schemas.openxmlformats.org/officeDocument/2006/customXml" ds:itemID="{DFB0735C-528C-4B4D-8BF8-12620BAF85A6}"/>
</file>

<file path=customXml/itemProps3.xml><?xml version="1.0" encoding="utf-8"?>
<ds:datastoreItem xmlns:ds="http://schemas.openxmlformats.org/officeDocument/2006/customXml" ds:itemID="{F44551EB-DD11-49B3-8BF1-6577A11F4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2431</Characters>
  <Application>Microsoft Office Word</Application>
  <DocSecurity>0</DocSecurity>
  <Lines>151</Lines>
  <Paragraphs>92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Clegg</dc:creator>
  <cp:keywords/>
  <dc:description/>
  <cp:lastModifiedBy>Fiona Clegg</cp:lastModifiedBy>
  <cp:revision>1</cp:revision>
  <dcterms:created xsi:type="dcterms:W3CDTF">2025-10-03T17:28:00Z</dcterms:created>
  <dcterms:modified xsi:type="dcterms:W3CDTF">2025-10-03T17:38:00Z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</Properties>
</file>